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87BD" w14:textId="77777777" w:rsidR="00E00DA5" w:rsidRPr="00E00DA5" w:rsidRDefault="00E00DA5">
      <w:pPr>
        <w:rPr>
          <w:rFonts w:ascii="Georgia" w:hAnsi="Georgia"/>
          <w:b/>
        </w:rPr>
      </w:pPr>
    </w:p>
    <w:p w14:paraId="38F3FD0D" w14:textId="473D18EF" w:rsidR="00E00DA5" w:rsidRDefault="00442EA6">
      <w:pPr>
        <w:rPr>
          <w:rFonts w:ascii="Georgia" w:hAnsi="Georgia"/>
        </w:rPr>
      </w:pPr>
      <w:r>
        <w:rPr>
          <w:rFonts w:ascii="Georgia" w:hAnsi="Georgia"/>
          <w:b/>
        </w:rPr>
        <w:t xml:space="preserve">RHSPT </w:t>
      </w:r>
      <w:r w:rsidR="00E00DA5" w:rsidRPr="00E00DA5">
        <w:rPr>
          <w:rFonts w:ascii="Georgia" w:hAnsi="Georgia"/>
          <w:b/>
        </w:rPr>
        <w:t>Trustees</w:t>
      </w:r>
      <w:r w:rsidR="00E00DA5">
        <w:rPr>
          <w:rFonts w:ascii="Georgia" w:hAnsi="Georgia"/>
        </w:rPr>
        <w:br/>
      </w:r>
    </w:p>
    <w:p w14:paraId="0E67715D" w14:textId="3174C65E" w:rsidR="00E00DA5" w:rsidRPr="00E00DA5" w:rsidRDefault="00E00DA5" w:rsidP="00E52601">
      <w:pPr>
        <w:rPr>
          <w:rFonts w:ascii="Georgia" w:hAnsi="Georgia"/>
        </w:rPr>
      </w:pPr>
      <w:r>
        <w:rPr>
          <w:rFonts w:ascii="Georgia" w:hAnsi="Georgia"/>
          <w:noProof/>
          <w:lang w:eastAsia="en-GB"/>
        </w:rPr>
        <w:drawing>
          <wp:inline distT="0" distB="0" distL="0" distR="0" wp14:anchorId="0CBD2072" wp14:editId="0DF09CC7">
            <wp:extent cx="1276350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nda Forsyth pi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84" cy="127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890A3" w14:textId="6A4591D6" w:rsidR="007C5E18" w:rsidRPr="00E52601" w:rsidRDefault="00B30FA1">
      <w:pPr>
        <w:rPr>
          <w:rFonts w:ascii="Arial" w:hAnsi="Arial" w:cs="Arial"/>
          <w:sz w:val="20"/>
          <w:szCs w:val="20"/>
        </w:rPr>
      </w:pPr>
      <w:r w:rsidRPr="00E52601">
        <w:rPr>
          <w:rFonts w:ascii="Arial" w:hAnsi="Arial" w:cs="Arial"/>
          <w:b/>
          <w:sz w:val="20"/>
          <w:szCs w:val="20"/>
        </w:rPr>
        <w:t>Amanda Forsyth</w:t>
      </w:r>
      <w:r w:rsidRPr="00E52601">
        <w:rPr>
          <w:rFonts w:ascii="Arial" w:hAnsi="Arial" w:cs="Arial"/>
          <w:sz w:val="20"/>
          <w:szCs w:val="20"/>
        </w:rPr>
        <w:t xml:space="preserve"> FCA FCSI is a retired investment manager</w:t>
      </w:r>
      <w:r w:rsidR="00E00DA5" w:rsidRPr="00E52601">
        <w:rPr>
          <w:rFonts w:ascii="Arial" w:hAnsi="Arial" w:cs="Arial"/>
          <w:sz w:val="20"/>
          <w:szCs w:val="20"/>
        </w:rPr>
        <w:t xml:space="preserve">, having </w:t>
      </w:r>
      <w:r w:rsidR="00CF71F4" w:rsidRPr="00E52601">
        <w:rPr>
          <w:rFonts w:ascii="Arial" w:hAnsi="Arial" w:cs="Arial"/>
          <w:sz w:val="20"/>
          <w:szCs w:val="20"/>
        </w:rPr>
        <w:t>spent more than thirty years in the financial services industry. A</w:t>
      </w:r>
      <w:r w:rsidRPr="00E52601">
        <w:rPr>
          <w:rFonts w:ascii="Arial" w:hAnsi="Arial" w:cs="Arial"/>
          <w:sz w:val="20"/>
          <w:szCs w:val="20"/>
        </w:rPr>
        <w:t xml:space="preserve"> keen amateur musician, </w:t>
      </w:r>
      <w:r w:rsidR="00CF71F4" w:rsidRPr="00E52601">
        <w:rPr>
          <w:rFonts w:ascii="Arial" w:hAnsi="Arial" w:cs="Arial"/>
          <w:sz w:val="20"/>
          <w:szCs w:val="20"/>
        </w:rPr>
        <w:t xml:space="preserve">she </w:t>
      </w:r>
      <w:r w:rsidRPr="00E52601">
        <w:rPr>
          <w:rFonts w:ascii="Arial" w:hAnsi="Arial" w:cs="Arial"/>
          <w:sz w:val="20"/>
          <w:szCs w:val="20"/>
        </w:rPr>
        <w:t>sing</w:t>
      </w:r>
      <w:r w:rsidR="00CF71F4" w:rsidRPr="00E52601">
        <w:rPr>
          <w:rFonts w:ascii="Arial" w:hAnsi="Arial" w:cs="Arial"/>
          <w:sz w:val="20"/>
          <w:szCs w:val="20"/>
        </w:rPr>
        <w:t>s</w:t>
      </w:r>
      <w:r w:rsidRPr="00E52601">
        <w:rPr>
          <w:rFonts w:ascii="Arial" w:hAnsi="Arial" w:cs="Arial"/>
          <w:sz w:val="20"/>
          <w:szCs w:val="20"/>
        </w:rPr>
        <w:t xml:space="preserve"> in the choir of St Giles’ Cathedral, Edinburgh where she is also a member of the Kirk Session</w:t>
      </w:r>
      <w:r w:rsidR="00CF71F4" w:rsidRPr="00E52601">
        <w:rPr>
          <w:rFonts w:ascii="Arial" w:hAnsi="Arial" w:cs="Arial"/>
          <w:sz w:val="20"/>
          <w:szCs w:val="20"/>
        </w:rPr>
        <w:t xml:space="preserve"> and the Cathedral’s Treasurer</w:t>
      </w:r>
      <w:r w:rsidRPr="00E52601">
        <w:rPr>
          <w:rFonts w:ascii="Arial" w:hAnsi="Arial" w:cs="Arial"/>
          <w:sz w:val="20"/>
          <w:szCs w:val="20"/>
        </w:rPr>
        <w:t>. She has</w:t>
      </w:r>
      <w:r w:rsidR="00CF71F4" w:rsidRPr="00E52601">
        <w:rPr>
          <w:rFonts w:ascii="Arial" w:hAnsi="Arial" w:cs="Arial"/>
          <w:sz w:val="20"/>
          <w:szCs w:val="20"/>
        </w:rPr>
        <w:t xml:space="preserve"> several other</w:t>
      </w:r>
      <w:r w:rsidRPr="00E52601">
        <w:rPr>
          <w:rFonts w:ascii="Arial" w:hAnsi="Arial" w:cs="Arial"/>
          <w:sz w:val="20"/>
          <w:szCs w:val="20"/>
        </w:rPr>
        <w:t xml:space="preserve"> charity roles, including those of Chair at Live Music Now Scotland and Trustee of the RSNO Foundation.</w:t>
      </w:r>
    </w:p>
    <w:p w14:paraId="21C2C035" w14:textId="77777777" w:rsidR="00E00DA5" w:rsidRDefault="00E00DA5" w:rsidP="00E00DA5"/>
    <w:p w14:paraId="0C8681A7" w14:textId="49707699" w:rsidR="00E00DA5" w:rsidRDefault="00E00DA5" w:rsidP="00E00DA5">
      <w:r>
        <w:rPr>
          <w:noProof/>
          <w:lang w:eastAsia="en-GB"/>
        </w:rPr>
        <w:drawing>
          <wp:inline distT="0" distB="0" distL="0" distR="0" wp14:anchorId="4C028FC7" wp14:editId="6A880C97">
            <wp:extent cx="1323975" cy="19844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B0A631-8CAA-4A87-A5D5-E36139D25C76_1_201_a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98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9CDA4" w14:textId="599A2F66" w:rsidR="00E00DA5" w:rsidRPr="00E52601" w:rsidRDefault="00E00DA5" w:rsidP="00E00DA5">
      <w:pPr>
        <w:rPr>
          <w:rFonts w:ascii="Arial" w:hAnsi="Arial" w:cs="Arial"/>
          <w:sz w:val="20"/>
          <w:szCs w:val="20"/>
        </w:rPr>
      </w:pPr>
      <w:r w:rsidRPr="00E52601">
        <w:rPr>
          <w:rFonts w:ascii="Arial" w:hAnsi="Arial" w:cs="Arial"/>
          <w:b/>
          <w:sz w:val="20"/>
          <w:szCs w:val="20"/>
        </w:rPr>
        <w:t>Carol Nimmo</w:t>
      </w:r>
      <w:r w:rsidRPr="00E52601">
        <w:rPr>
          <w:rFonts w:ascii="Arial" w:hAnsi="Arial" w:cs="Arial"/>
          <w:sz w:val="20"/>
          <w:szCs w:val="20"/>
        </w:rPr>
        <w:t xml:space="preserve"> has a background in retail and owning &amp; running a Finnish design business. She is now a Senior Iyengar Yoga teacher.  As Chair of the local resident’s association which neighbours the Old Royal High School, Carol has been actively involved in saving the </w:t>
      </w:r>
      <w:proofErr w:type="gramStart"/>
      <w:r w:rsidRPr="00E52601">
        <w:rPr>
          <w:rFonts w:ascii="Arial" w:hAnsi="Arial" w:cs="Arial"/>
          <w:sz w:val="20"/>
          <w:szCs w:val="20"/>
        </w:rPr>
        <w:t>Building</w:t>
      </w:r>
      <w:proofErr w:type="gramEnd"/>
      <w:r w:rsidRPr="00E52601">
        <w:rPr>
          <w:rFonts w:ascii="Arial" w:hAnsi="Arial" w:cs="Arial"/>
          <w:sz w:val="20"/>
          <w:szCs w:val="20"/>
        </w:rPr>
        <w:t xml:space="preserve"> since 2014. More recently as Chair of the local New Town and Broughton Community Council she has campaigned against two hotel planning applications and represented the community at a Scottish Government Planning Inquiry in 2018 before the building was finally saved. Carol is delighted, through the Royal High School Preservation Trust, to now be able to play a part in its bright future.</w:t>
      </w:r>
    </w:p>
    <w:p w14:paraId="3E8FED79" w14:textId="77777777" w:rsidR="00E00DA5" w:rsidRDefault="00E00DA5" w:rsidP="00E00DA5"/>
    <w:p w14:paraId="2F7A2457" w14:textId="77777777" w:rsidR="00E00DA5" w:rsidRDefault="00E00DA5" w:rsidP="00E00DA5">
      <w:pPr>
        <w:rPr>
          <w:rFonts w:ascii="Palatino Linotype" w:hAnsi="Palatino Linotype" w:cs="Calibri"/>
          <w:color w:val="0B5394"/>
          <w:u w:val="single"/>
          <w:bdr w:val="none" w:sz="0" w:space="0" w:color="auto" w:frame="1"/>
          <w:shd w:val="clear" w:color="auto" w:fill="FFFFFF"/>
        </w:rPr>
      </w:pPr>
    </w:p>
    <w:p w14:paraId="7BD0F8CA" w14:textId="1F126248" w:rsidR="00E00DA5" w:rsidRDefault="00E52601" w:rsidP="00E52601">
      <w:pPr>
        <w:jc w:val="center"/>
        <w:rPr>
          <w:rFonts w:ascii="Palatino Linotype" w:hAnsi="Palatino Linotype" w:cs="Calibri"/>
          <w:color w:val="0B5394"/>
          <w:u w:val="single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1F512173" wp14:editId="067D0296">
            <wp:extent cx="882595" cy="66964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y Portrait 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433" cy="67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55FC3" w14:textId="77777777" w:rsidR="00E00DA5" w:rsidRDefault="00E00DA5" w:rsidP="00E00DA5">
      <w:pPr>
        <w:rPr>
          <w:rFonts w:ascii="Palatino Linotype" w:hAnsi="Palatino Linotype" w:cs="Calibri"/>
          <w:color w:val="0B5394"/>
          <w:u w:val="single"/>
          <w:bdr w:val="none" w:sz="0" w:space="0" w:color="auto" w:frame="1"/>
          <w:shd w:val="clear" w:color="auto" w:fill="FFFFFF"/>
        </w:rPr>
      </w:pPr>
    </w:p>
    <w:p w14:paraId="6C977169" w14:textId="180C556A" w:rsidR="00E00DA5" w:rsidRDefault="00E00DA5" w:rsidP="00E00DA5">
      <w:pPr>
        <w:rPr>
          <w:rFonts w:ascii="Palatino Linotype" w:hAnsi="Palatino Linotype" w:cs="Calibri"/>
          <w:color w:val="0B5394"/>
          <w:u w:val="single"/>
          <w:bdr w:val="none" w:sz="0" w:space="0" w:color="auto" w:frame="1"/>
          <w:shd w:val="clear" w:color="auto" w:fill="FFFFFF"/>
        </w:rPr>
      </w:pPr>
      <w:r>
        <w:rPr>
          <w:rFonts w:ascii="Palatino Linotype" w:hAnsi="Palatino Linotype" w:cs="Calibri"/>
          <w:noProof/>
          <w:color w:val="0B5394"/>
          <w:u w:val="single"/>
          <w:bdr w:val="none" w:sz="0" w:space="0" w:color="auto" w:frame="1"/>
          <w:shd w:val="clear" w:color="auto" w:fill="FFFFFF"/>
          <w:lang w:eastAsia="en-GB"/>
        </w:rPr>
        <w:lastRenderedPageBreak/>
        <w:drawing>
          <wp:inline distT="0" distB="0" distL="0" distR="0" wp14:anchorId="2C3575DC" wp14:editId="5CED222C">
            <wp:extent cx="1421907" cy="200977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in-Aug pi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907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2E425" w14:textId="77777777" w:rsidR="00E00DA5" w:rsidRPr="00E52601" w:rsidRDefault="00E00DA5" w:rsidP="00E00DA5">
      <w:pPr>
        <w:rPr>
          <w:rFonts w:ascii="Arial" w:hAnsi="Arial" w:cs="Arial"/>
          <w:sz w:val="20"/>
          <w:szCs w:val="20"/>
        </w:rPr>
      </w:pPr>
      <w:r w:rsidRPr="00E52601">
        <w:rPr>
          <w:rFonts w:ascii="Arial" w:hAnsi="Arial" w:cs="Arial"/>
          <w:b/>
          <w:sz w:val="20"/>
          <w:szCs w:val="20"/>
          <w:bdr w:val="none" w:sz="0" w:space="0" w:color="auto" w:frame="1"/>
          <w:shd w:val="clear" w:color="auto" w:fill="FFFFFF"/>
        </w:rPr>
        <w:t>Colin Liddell WS</w:t>
      </w:r>
      <w:r w:rsidRPr="00E52601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 – a retired accredited specialist in Charity Law (the first one accredited in Scotland), co-author of </w:t>
      </w:r>
      <w:r w:rsidRPr="00E52601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</w:rPr>
        <w:t>A Practical Guide to Charity Law in Scotland</w:t>
      </w:r>
      <w:r w:rsidRPr="00E52601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, author of local histories, current or former Chair and/or Trustee of a number of charities, including </w:t>
      </w:r>
      <w:proofErr w:type="spellStart"/>
      <w:r w:rsidRPr="00E52601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Dunard</w:t>
      </w:r>
      <w:proofErr w:type="spellEnd"/>
      <w:r w:rsidRPr="00E52601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Fund, IMPACT Scotland, National Centre for Music, Perth &amp; Kinross Heritage Trust, Pitlochry Festival Theatre, and Scottish Grantmakers, and currently involved with building projects for charities in Scotland with a total cost in excess of £200m.</w:t>
      </w:r>
    </w:p>
    <w:p w14:paraId="3295FF71" w14:textId="77777777" w:rsidR="00E00DA5" w:rsidRDefault="00E00DA5" w:rsidP="00E00DA5"/>
    <w:p w14:paraId="1EB51CB6" w14:textId="1DA08857" w:rsidR="00E00DA5" w:rsidRDefault="00E00DA5" w:rsidP="00E00DA5">
      <w:r>
        <w:rPr>
          <w:noProof/>
          <w:lang w:eastAsia="en-GB"/>
        </w:rPr>
        <w:drawing>
          <wp:inline distT="0" distB="0" distL="0" distR="0" wp14:anchorId="329B3FE8" wp14:editId="657445DF">
            <wp:extent cx="2294027" cy="1638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cola Gordon p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011" cy="163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8947B" w14:textId="77777777" w:rsidR="00E00DA5" w:rsidRPr="00E52601" w:rsidRDefault="00E00DA5" w:rsidP="00E00DA5">
      <w:pPr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E52601">
        <w:rPr>
          <w:rFonts w:ascii="Arial" w:hAnsi="Arial" w:cs="Arial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Nicola Gordon</w:t>
      </w:r>
      <w:r w:rsidRPr="00E5260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has held </w:t>
      </w:r>
      <w:proofErr w:type="gramStart"/>
      <w:r w:rsidRPr="00E5260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a number of</w:t>
      </w:r>
      <w:proofErr w:type="gramEnd"/>
      <w:r w:rsidRPr="00E5260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non-executive roles in the public, private and voluntary sectors and currently serves as a trustee of the Scottish Ensemble and Edinburgh Printmakers as well as</w:t>
      </w:r>
      <w:r w:rsidRPr="00E52601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 the Royal High School Preservation Trust</w:t>
      </w:r>
      <w:r w:rsidRPr="00E5260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. She is chair of the audit and risk committee on the board of the Scottish Environment Protection Agency and is a member of the board at the Scottish Energy Forum and OKEA A/S, a Norwegian energy company. Nicola is a chartered engineer and has extensive experience of leading capital projects and operations from her former career as an executive in the international energy sector.</w:t>
      </w:r>
    </w:p>
    <w:p w14:paraId="7AFA78F8" w14:textId="77777777" w:rsidR="00303F0A" w:rsidRDefault="00303F0A" w:rsidP="00E00DA5">
      <w:pPr>
        <w:rPr>
          <w:rFonts w:ascii="inherit" w:hAnsi="inherit" w:cs="Segoe UI"/>
          <w:color w:val="333333"/>
          <w:sz w:val="18"/>
          <w:szCs w:val="18"/>
          <w:bdr w:val="none" w:sz="0" w:space="0" w:color="auto" w:frame="1"/>
          <w:shd w:val="clear" w:color="auto" w:fill="FFFFFF"/>
        </w:rPr>
      </w:pPr>
    </w:p>
    <w:p w14:paraId="7B39F95E" w14:textId="6364F57C" w:rsidR="00E52601" w:rsidRDefault="00E52601" w:rsidP="00E00DA5">
      <w:pPr>
        <w:rPr>
          <w:rFonts w:ascii="inherit" w:hAnsi="inherit" w:cs="Segoe UI"/>
          <w:color w:val="333333"/>
          <w:sz w:val="18"/>
          <w:szCs w:val="18"/>
          <w:bdr w:val="none" w:sz="0" w:space="0" w:color="auto" w:frame="1"/>
          <w:shd w:val="clear" w:color="auto" w:fill="FFFFFF"/>
        </w:rPr>
      </w:pPr>
    </w:p>
    <w:p w14:paraId="513EDD3A" w14:textId="77777777" w:rsidR="00E52601" w:rsidRDefault="00E52601" w:rsidP="00E00DA5">
      <w:pPr>
        <w:rPr>
          <w:rFonts w:ascii="inherit" w:hAnsi="inherit" w:cs="Segoe UI"/>
          <w:color w:val="333333"/>
          <w:sz w:val="18"/>
          <w:szCs w:val="18"/>
          <w:bdr w:val="none" w:sz="0" w:space="0" w:color="auto" w:frame="1"/>
          <w:shd w:val="clear" w:color="auto" w:fill="FFFFFF"/>
        </w:rPr>
      </w:pPr>
    </w:p>
    <w:p w14:paraId="7A2097A3" w14:textId="504DF7A4" w:rsidR="00E52601" w:rsidRDefault="00E52601" w:rsidP="00E52601">
      <w:pPr>
        <w:jc w:val="center"/>
        <w:rPr>
          <w:rFonts w:ascii="inherit" w:hAnsi="inherit" w:cs="Segoe UI"/>
          <w:color w:val="333333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5A222C3D" wp14:editId="6C07FBF2">
            <wp:extent cx="882595" cy="66964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y Portrait 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433" cy="67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6383B" w14:textId="504DF7A4" w:rsidR="00E52601" w:rsidRDefault="00E52601" w:rsidP="00E00DA5">
      <w:pPr>
        <w:rPr>
          <w:rFonts w:ascii="inherit" w:hAnsi="inherit" w:cs="Segoe UI"/>
          <w:color w:val="333333"/>
          <w:sz w:val="18"/>
          <w:szCs w:val="18"/>
          <w:bdr w:val="none" w:sz="0" w:space="0" w:color="auto" w:frame="1"/>
          <w:shd w:val="clear" w:color="auto" w:fill="FFFFFF"/>
        </w:rPr>
      </w:pPr>
    </w:p>
    <w:p w14:paraId="09596050" w14:textId="77777777" w:rsidR="00E52601" w:rsidRDefault="00E52601" w:rsidP="00303F0A">
      <w:pPr>
        <w:spacing w:beforeAutospacing="1" w:after="0" w:afterAutospacing="1" w:line="240" w:lineRule="auto"/>
        <w:rPr>
          <w:rFonts w:ascii="Helvetica" w:eastAsia="Times New Roman" w:hAnsi="Helvetica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</w:p>
    <w:p w14:paraId="74C3484A" w14:textId="77777777" w:rsidR="00E52601" w:rsidRDefault="00E52601" w:rsidP="00303F0A">
      <w:pPr>
        <w:spacing w:beforeAutospacing="1" w:after="0" w:afterAutospacing="1" w:line="240" w:lineRule="auto"/>
        <w:rPr>
          <w:rFonts w:ascii="Helvetica" w:eastAsia="Times New Roman" w:hAnsi="Helvetica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</w:p>
    <w:p w14:paraId="4C553F69" w14:textId="77777777" w:rsidR="00E52601" w:rsidRDefault="00E52601" w:rsidP="00303F0A">
      <w:pPr>
        <w:spacing w:beforeAutospacing="1" w:after="0" w:afterAutospacing="1" w:line="240" w:lineRule="auto"/>
        <w:rPr>
          <w:rFonts w:ascii="Helvetica" w:eastAsia="Times New Roman" w:hAnsi="Helvetica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</w:p>
    <w:p w14:paraId="44D09808" w14:textId="116542E0" w:rsidR="00E52601" w:rsidRDefault="00303F0A" w:rsidP="00303F0A">
      <w:pPr>
        <w:spacing w:beforeAutospacing="1" w:after="0" w:afterAutospacing="1" w:line="240" w:lineRule="auto"/>
        <w:rPr>
          <w:rFonts w:ascii="Helvetica" w:eastAsia="Times New Roman" w:hAnsi="Helvetica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>
        <w:rPr>
          <w:rFonts w:ascii="Helvetica" w:eastAsia="Times New Roman" w:hAnsi="Helvetica" w:cs="Times New Roman"/>
          <w:b/>
          <w:bCs/>
          <w:noProof/>
          <w:color w:val="242424"/>
          <w:sz w:val="24"/>
          <w:szCs w:val="24"/>
          <w:bdr w:val="none" w:sz="0" w:space="0" w:color="auto" w:frame="1"/>
          <w:shd w:val="clear" w:color="auto" w:fill="FFFFFF"/>
          <w:lang w:eastAsia="en-GB"/>
        </w:rPr>
        <w:drawing>
          <wp:inline distT="0" distB="0" distL="0" distR="0" wp14:anchorId="57B0F07F" wp14:editId="40F59962">
            <wp:extent cx="762000" cy="1516179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hard Austin pi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18" cy="151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C39BD" w14:textId="6DB92121" w:rsidR="00303F0A" w:rsidRPr="00E52601" w:rsidRDefault="00E52601" w:rsidP="00303F0A">
      <w:pPr>
        <w:spacing w:beforeAutospacing="1" w:after="0" w:afterAutospacing="1" w:line="24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 w:rsidRPr="00E52601">
        <w:rPr>
          <w:rFonts w:ascii="Arial" w:eastAsia="Times New Roman" w:hAnsi="Arial" w:cs="Arial"/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  <w:t>Richard Austin</w:t>
      </w:r>
      <w:r w:rsidRPr="00E52601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  <w:t> </w:t>
      </w:r>
      <w:r w:rsidR="00303F0A" w:rsidRPr="00E52601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  <w:t>After studying Law and History of Art at Edinburgh University, Richard entered private practice</w:t>
      </w:r>
      <w:r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 as a solicitor, in Edinburgh. </w:t>
      </w:r>
      <w:r w:rsidR="00303F0A" w:rsidRPr="00E52601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He subsequently became secretary of a </w:t>
      </w:r>
      <w:r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  <w:t>major grant-making foundation. </w:t>
      </w:r>
      <w:r w:rsidR="00303F0A" w:rsidRPr="00E52601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  <w:t>He has, over more than 20 years, sat on the board of a range of charitable organisations, joining t</w:t>
      </w:r>
      <w:r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  <w:t>he board of the RHSPT in 2015. </w:t>
      </w:r>
      <w:r w:rsidR="00303F0A" w:rsidRPr="00E52601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  <w:t>Richard was a pupil at the Royal High School and, as a musician, was a regular performer in its magnificent hall.</w:t>
      </w:r>
    </w:p>
    <w:p w14:paraId="75FFC8E3" w14:textId="77777777" w:rsidR="00303F0A" w:rsidRDefault="00303F0A" w:rsidP="00E00DA5"/>
    <w:p w14:paraId="7D40D870" w14:textId="77777777" w:rsidR="00E52601" w:rsidRDefault="00E52601" w:rsidP="00E00DA5"/>
    <w:p w14:paraId="3BBC3D12" w14:textId="77777777" w:rsidR="00E52601" w:rsidRDefault="00E52601" w:rsidP="00E00DA5"/>
    <w:p w14:paraId="3F7FA319" w14:textId="77777777" w:rsidR="00E52601" w:rsidRDefault="00E52601" w:rsidP="00E00DA5"/>
    <w:p w14:paraId="1EA0BB78" w14:textId="77777777" w:rsidR="00E52601" w:rsidRDefault="00E52601" w:rsidP="00E00DA5"/>
    <w:p w14:paraId="1744A5B7" w14:textId="77777777" w:rsidR="00E52601" w:rsidRDefault="00E52601" w:rsidP="00E00DA5"/>
    <w:p w14:paraId="3F961D05" w14:textId="77777777" w:rsidR="00E52601" w:rsidRDefault="00E52601" w:rsidP="00E00DA5"/>
    <w:p w14:paraId="7CE423DA" w14:textId="77777777" w:rsidR="00E52601" w:rsidRDefault="00E52601" w:rsidP="00E00DA5"/>
    <w:p w14:paraId="574056A2" w14:textId="77777777" w:rsidR="00E52601" w:rsidRDefault="00E52601" w:rsidP="00E00DA5"/>
    <w:p w14:paraId="5A486908" w14:textId="77777777" w:rsidR="00E52601" w:rsidRDefault="00E52601" w:rsidP="00E00DA5"/>
    <w:p w14:paraId="26F22C21" w14:textId="77777777" w:rsidR="00E52601" w:rsidRDefault="00E52601" w:rsidP="00E00DA5"/>
    <w:p w14:paraId="3393A7C2" w14:textId="77777777" w:rsidR="00E52601" w:rsidRDefault="00E52601" w:rsidP="00E00DA5"/>
    <w:p w14:paraId="4297990A" w14:textId="77777777" w:rsidR="00E52601" w:rsidRDefault="00E52601" w:rsidP="00E00DA5"/>
    <w:p w14:paraId="4CD6ED1F" w14:textId="77777777" w:rsidR="00E52601" w:rsidRDefault="00E52601" w:rsidP="00E00DA5"/>
    <w:p w14:paraId="6C53ABF4" w14:textId="77777777" w:rsidR="00E52601" w:rsidRDefault="00E52601" w:rsidP="00E00DA5"/>
    <w:p w14:paraId="60F8ACD8" w14:textId="77777777" w:rsidR="00E52601" w:rsidRDefault="00E52601" w:rsidP="00E00DA5"/>
    <w:p w14:paraId="63960C6C" w14:textId="6F45D92C" w:rsidR="00E00DA5" w:rsidRPr="00B30FA1" w:rsidRDefault="00E52601" w:rsidP="00E52601">
      <w:pPr>
        <w:jc w:val="center"/>
        <w:rPr>
          <w:rFonts w:ascii="Georgia" w:hAnsi="Georgia"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65A95B6D" wp14:editId="2D255AC3">
            <wp:extent cx="882595" cy="66964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y Portrait 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433" cy="67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0DA5" w:rsidRPr="00B30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A1"/>
    <w:rsid w:val="0024276B"/>
    <w:rsid w:val="00303F0A"/>
    <w:rsid w:val="00442EA6"/>
    <w:rsid w:val="007235D9"/>
    <w:rsid w:val="007C5E18"/>
    <w:rsid w:val="008133D1"/>
    <w:rsid w:val="00B30FA1"/>
    <w:rsid w:val="00C166F6"/>
    <w:rsid w:val="00CD4FB4"/>
    <w:rsid w:val="00CF71F4"/>
    <w:rsid w:val="00D91EBF"/>
    <w:rsid w:val="00E00DA5"/>
    <w:rsid w:val="00E5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E9E37"/>
  <w15:docId w15:val="{0F9AC626-EB33-4129-ABC2-D6A262A5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amanda.j.forsyth@outlook.com</dc:creator>
  <cp:lastModifiedBy>Beverley Hart</cp:lastModifiedBy>
  <cp:revision>2</cp:revision>
  <dcterms:created xsi:type="dcterms:W3CDTF">2024-01-23T10:45:00Z</dcterms:created>
  <dcterms:modified xsi:type="dcterms:W3CDTF">2024-01-23T10:45:00Z</dcterms:modified>
</cp:coreProperties>
</file>